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Załącznik nr 2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Zaoferowane Państwu połączenie usług turystycznych stanowi imprezę turystyczną w rozumieniu dyrektywy (UE) 2015/2302.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 związku z powyższym będą Państwu przysługiwały wszystkie prawa UE mające zastosowanie do imprez turystycznych.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green"/>
          <w:rtl w:val="0"/>
        </w:rPr>
        <w:t xml:space="preserve">Mistrzowskie Obozy Agencja Turystyki Aktywnej sp. z o.o.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będzie ponosiło pełną odpowiedzialność za należytą realizację całości imprezy turystycznej.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Ponadto, zgodnie z wymogami prawa,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green"/>
          <w:rtl w:val="0"/>
        </w:rPr>
        <w:t xml:space="preserve">Mistrzowskie Obozy Agencja Turystyki Aktywnej sp. z o.o.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posiada zabezpieczenie w celu zapewnienia zwrotu Państwu wpłat i, jeżeli transport jest elementem imprezy turystycznej, zapewnienia Państwa powrotu do kraju w przypadku, gdyby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green"/>
          <w:rtl w:val="0"/>
        </w:rPr>
        <w:t xml:space="preserve">Mistrzowskie Obozy Agencja Turystyki Aktywnej sp. z o.o.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stało się niewypłacalne.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Najważniejsze prawa zgodnie z dyrektywą (UE) 2015/2302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Przed zawarciem umowy o udział w imprezie turystycznej podróżni otrzymają wszystkie niezbędne informacje na temat imprezy turystycznej.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Zawsze co najmniej jeden przedsiębiorca ponosi odpowiedzialność za należyte wykonanie wszystkich usług turystycznych objętych umową.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Podróżni otrzymują awaryjny numer telefonu lub dane punktu kontaktowego, dzięki którym mogą skontaktować się z organizatorem turystyki lub agentem turystycznym.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Podróżni mogą przenieść imprezę turystyczną na inną osobę, powiadamiając o tym w rozsądnym terminie, z zastrzeżeniem ewentualnych dodatkowych kosztów.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Cena imprezy turystycznej może zostać podwyższona jedynie wtedy, gdy wzrosną określone koszty (na przykład koszty paliwa) i zostało to wyraźnie przewidziane w umowie; w żadnym przypadku podwyżka ceny nie może nastąpić później niż 20 dni przed rozpoczęciem imprezy turystycznej. Jeżeli podwyżka ceny przekracza 8% ceny imprezy turystycznej, podróżny może rozwiązać umowę. Jeżeli organizator turystyki zastrzega sobie prawo do podwyższenia ceny, podróżny ma prawo do obniżki ceny, jeżeli obniżyły się odpowiednie koszty.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Podróżni mogą rozwiązać umowę bez ponoszenia jakiejkolwiek opłaty za rozwiązanie i uzyskać pełen zwrot wszelkich wpłat, jeżeli jeden z istotnych elementów imprezy turystycznej, inny niż cena, zmieni się w znaczący sposób. Jeżeli przedsiębiorca odpowiedzialny za imprezę turystyczną odwoła ją przed jej rozpoczęciem, podróżni mają prawo do zwrotu wpłat oraz w stosownych przypadkach do rekompensaty.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W wyjątkowych okolicznościach - na przykład jeżeli w docelowym miejscu podróży występują poważne problemy związane z bezpieczeństwem, które mogą wpłynąć na imprezę turystyczną - podróżni mogą, przed rozpoczęciem imprezy turystycznej, rozwiązać umowę bez ponoszenia jakiejkolwiek opłaty za rozwiązanie.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Ponadto podróżni mogą w każdym momencie przed rozpoczęciem imprezy turystycznej rozwiązać umowę za odpowiednią i możliwą do uzasadnienia opłatą.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Jeżeli po rozpoczęciu imprezy turystycznej jej znaczące elementy nie mogą zostać zrealizowane zgodnie z umową, będą musiały zostać zaproponowane, bez dodatkowych kosztów, odpowiednie alternatywne usługi. W przypadku gdy usługi nie są świadczone zgodnie z umową, co istotnie wpływa na realizację imprezy turystycznej, a organizator turystyki nie zdoła usunąć problemu, podróżni mogą rozwiązać umowę bez opłaty za rozwiązanie.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Podróżni są również uprawnieni do otrzymania obniżki ceny lub rekompensaty za szkodę w przypadku niewykonania lub nienależytego wykonania usług turystycznych.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Organizator turystyki musi zapewnić pomoc podróżnemu, który znajdzie się w trudnej sytuacji.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W przypadku gdy organizator turystyki stanie się niewypłacalny, wpłaty zostaną zwrócone. Jeżeli organizator turystyki stanie się niewypłacalny po rozpoczęciu imprezy turystycznej i jeżeli impreza turystyczna obejmuje transport, zapewniony jest powrót podróżnych do kraju.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green"/>
          <w:rtl w:val="0"/>
        </w:rPr>
        <w:t xml:space="preserve">Mistrzowskie Obozy Agencja Turystyki Aktywnej sp. z o.o.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wykupił w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Signal Iduna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zabezpieczenie na wypadek niewypłacalności. Podróżni mogą kontaktować się z tym podmiotem lub, w odpowiednich przypadkach, z właściwym organem tj. Urzędem Marszałkowskim Województwa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Małopolskie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Racławicka 56, Kraków 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jeżeli z powodu niewypłacalności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green"/>
          <w:rtl w:val="0"/>
        </w:rPr>
        <w:t xml:space="preserve">Mistrzowskie Obozy Agencja Turystyki Aktywnej sp. z o.o.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dojdzie do odmowy świadczenia usług.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Cambria" w:cs="Cambria" w:eastAsia="Cambria" w:hAnsi="Cambria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Dyrektywa jest dostępna pod adresem:</w:t>
      </w:r>
      <w:hyperlink r:id="rId6">
        <w:r w:rsidDel="00000000" w:rsidR="00000000" w:rsidRPr="00000000">
          <w:rPr>
            <w:rFonts w:ascii="Cambria" w:cs="Cambria" w:eastAsia="Cambria" w:hAnsi="Cambria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https://eur-lex.europa.eu/legal-content/PL/TXT/?uri=celex%3A32015L2302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ur-lex.europa.eu/legal-content/PL/TXT/?uri=celex%3A32015L2302" TargetMode="External"/><Relationship Id="rId7" Type="http://schemas.openxmlformats.org/officeDocument/2006/relationships/hyperlink" Target="https://eur-lex.europa.eu/legal-content/PL/TXT/?uri=celex%3A32015L2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